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7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17" w:type="dxa"/>
            <w:tcBorders>
              <w:tl2br w:val="nil"/>
              <w:tr2bl w:val="nil"/>
            </w:tcBorders>
            <w:vAlign w:val="center"/>
          </w:tcPr>
          <w:p>
            <w:r>
              <w:t>报道原文：</w:t>
            </w:r>
          </w:p>
          <w:tbl>
            <w:tblPr>
              <w:tblStyle w:val="6"/>
              <w:tblW w:w="8292" w:type="dxa"/>
              <w:jc w:val="center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829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  <w:hidden/>
              </w:trPr>
              <w:tc>
                <w:tcPr>
                  <w:tcW w:w="8292" w:type="dxa"/>
                  <w:tcBorders>
                    <w:tl2br w:val="nil"/>
                    <w:tr2bl w:val="nil"/>
                  </w:tcBorders>
                </w:tcPr>
                <w:p>
                  <w:pPr>
                    <w:ind w:left="0"/>
                    <w:jc w:val="center"/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eastAsia="宋体"/>
                      <w:vanish w:val="0"/>
                      <w:sz w:val="35"/>
                      <w:szCs w:val="35"/>
                    </w:rPr>
                    <w:t>搜“协和医院”,蹦出1700多家“假亲戚”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  <w:hidden/>
              </w:trPr>
              <w:tc>
                <w:tcPr>
                  <w:tcW w:w="8292" w:type="dxa"/>
                  <w:tcBorders>
                    <w:tl2br w:val="nil"/>
                    <w:tr2bl w:val="nil"/>
                  </w:tcBorders>
                </w:tcPr>
                <w:p>
                  <w:pPr>
                    <w:ind w:left="0"/>
                    <w:jc w:val="center"/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</w:pPr>
                  <w:r>
                    <w:rPr>
                      <w:rFonts w:hint="eastAsia" w:ascii="宋体" w:eastAsia="宋体"/>
                      <w:vanish w:val="0"/>
                      <w:sz w:val="27"/>
                      <w:szCs w:val="27"/>
                    </w:rPr>
                    <w:t>部分医院“傍名牌”调查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  <w:hidden/>
              </w:trPr>
              <w:tc>
                <w:tcPr>
                  <w:tcW w:w="8292" w:type="dxa"/>
                  <w:tcBorders>
                    <w:tl2br w:val="nil"/>
                    <w:tr2bl w:val="nil"/>
                  </w:tcBorders>
                </w:tcPr>
                <w:p>
                  <w:pPr>
                    <w:ind w:left="0"/>
                    <w:jc w:val="center"/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</w:pPr>
                  <w:r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85090" distR="85090">
                            <wp:extent cx="4285615" cy="8890"/>
                            <wp:effectExtent l="0" t="0" r="0" b="0"/>
                            <wp:docPr id="1" name="矩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184" cy="95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 cap="flat" cmpd="sng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.7pt;width:337.45pt;" fillcolor="#000000" filled="t" stroked="f" coordsize="21600,21600" o:gfxdata="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fgBEtQAAAADAQAADwAAAAAAAAABACAAAAAiAAAAZHJzL2Rvd25yZXYueG1sUEsBAhQA&#10;FAAAAAgAh07iQF5YkRb2AQAA0gMAAA4AAAAAAAAAAQAgAAAAIwEAAGRycy9lMm9Eb2MueG1sUEsF&#10;BgAAAAAGAAYAWQEAAIsFAAAAAA==&#10;">
                            <v:fill on="t" focussize="0,0"/>
                            <v:stroke on="f" joinstyle="miter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blCellSpacing w:w="0" w:type="dxa"/>
                <w:jc w:val="center"/>
                <w:hidden/>
              </w:trPr>
              <w:tc>
                <w:tcPr>
                  <w:tcW w:w="8292" w:type="dxa"/>
                  <w:tcBorders>
                    <w:tl2br w:val="nil"/>
                    <w:tr2bl w:val="nil"/>
                  </w:tcBorders>
                </w:tcPr>
                <w:p>
                  <w:pPr>
                    <w:ind w:left="0"/>
                    <w:jc w:val="center"/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</w:pPr>
                  <w:r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  <w:t>（ 2018-10-19 ） 稿件来源：新华每日电讯 调查观察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  <w:hidden/>
              </w:trPr>
              <w:tc>
                <w:tcPr>
                  <w:tcW w:w="8292" w:type="dxa"/>
                  <w:tcBorders>
                    <w:tl2br w:val="nil"/>
                    <w:tr2bl w:val="nil"/>
                  </w:tcBorders>
                </w:tcPr>
                <w:p>
                  <w:pPr>
                    <w:ind w:left="0"/>
                    <w:jc w:val="center"/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 </w:t>
            </w:r>
          </w:p>
          <w:tbl>
            <w:tblPr>
              <w:tblStyle w:val="6"/>
              <w:tblW w:w="8292" w:type="dxa"/>
              <w:jc w:val="center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9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  <w:hidden/>
              </w:trPr>
              <w:tc>
                <w:tcPr>
                  <w:tcW w:w="8292" w:type="dxa"/>
                  <w:tcBorders>
                    <w:tl2br w:val="nil"/>
                    <w:tr2bl w:val="nil"/>
                  </w:tcBorders>
                  <w:shd w:val="clear" w:color="auto" w:fill="F7F7F7"/>
                  <w:vAlign w:val="center"/>
                </w:tcPr>
                <w:p>
                  <w:pPr>
                    <w:ind w:left="0"/>
                    <w:jc w:val="center"/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</w:pPr>
                  <w:r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  <w:drawing>
                      <wp:inline distT="0" distB="0" distL="85090" distR="85090">
                        <wp:extent cx="5047615" cy="3780790"/>
                        <wp:effectExtent l="0" t="0" r="0" b="0"/>
                        <wp:docPr id="3" name="图片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8173" cy="3781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  <w:hidden/>
              </w:trPr>
              <w:tc>
                <w:tcPr>
                  <w:tcW w:w="8292" w:type="dxa"/>
                  <w:tcBorders>
                    <w:tl2br w:val="nil"/>
                    <w:tr2bl w:val="nil"/>
                  </w:tcBorders>
                  <w:shd w:val="clear" w:color="auto" w:fill="F7F7F7"/>
                  <w:vAlign w:val="center"/>
                </w:tcPr>
                <w:p>
                  <w:pPr>
                    <w:ind w:left="0"/>
                    <w:jc w:val="center"/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</w:pPr>
                  <w:r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  <w:hidden/>
              </w:trPr>
              <w:tc>
                <w:tcPr>
                  <w:tcW w:w="8292" w:type="dxa"/>
                  <w:tcBorders>
                    <w:tl2br w:val="nil"/>
                    <w:tr2bl w:val="nil"/>
                  </w:tcBorders>
                  <w:shd w:val="clear" w:color="auto" w:fill="F7F7F7"/>
                  <w:vAlign w:val="center"/>
                </w:tcPr>
                <w:p>
                  <w:pPr>
                    <w:ind w:left="0"/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  <w:hidden/>
              </w:trPr>
              <w:tc>
                <w:tcPr>
                  <w:tcW w:w="82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left="0"/>
                    <w:jc w:val="center"/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</w:pPr>
                  <w:r>
                    <w:rPr>
                      <w:rFonts w:hint="eastAsia" w:ascii="宋体" w:eastAsia="宋体"/>
                      <w:vanish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>
            <w:pPr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▲尽管和北京协和医院没关系,但定州协和医院在门诊大厅高调标识自己是“全国协和品牌连锁医院”。</w:t>
            </w:r>
          </w:p>
          <w:p>
            <w:pPr>
              <w:jc w:val="right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　　　　　新华社记者乌梦达摄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新华社记者乌梦达、白明山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你以为“协和医院”指的就是北京协和医院?记者通过第三方软件检索发现,全国竟有1700多家“协和医院”。“同济”“华山”等知名医院,同样长期遭遇“傍名牌”困扰:正牌就几家,但全国不认识的“亲戚”却有成百上千。</w:t>
            </w:r>
          </w:p>
          <w:p>
            <w:pPr>
              <w:jc w:val="center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Style w:val="8"/>
                <w:rFonts w:ascii="Arial" w:hAnsi="Arial"/>
                <w:vanish w:val="0"/>
                <w:sz w:val="18"/>
                <w:szCs w:val="18"/>
              </w:rPr>
              <w:t>正牌只有几家</w:t>
            </w:r>
          </w:p>
          <w:p>
            <w:pPr>
              <w:pStyle w:val="5"/>
              <w:jc w:val="center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Style w:val="8"/>
                <w:rFonts w:ascii="Arial" w:hAnsi="Arial"/>
                <w:vanish w:val="0"/>
                <w:sz w:val="18"/>
                <w:szCs w:val="18"/>
              </w:rPr>
              <w:t>却有数百上千家不认识的“亲戚”</w:t>
            </w:r>
          </w:p>
          <w:p>
            <w:pPr>
              <w:jc w:val="center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Style w:val="8"/>
                <w:rFonts w:ascii="Arial" w:hAnsi="Arial"/>
                <w:vanish w:val="0"/>
                <w:sz w:val="18"/>
                <w:szCs w:val="18"/>
              </w:rPr>
              <w:t>　　记者查询发现有的“协和医院”注册资金仅3万元。业内人士介绍,这点钱连一些专业仪器都买不到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作为国家卫健委指定的全国疑难重症诊治指导中心,拥有近百年历史的北京协和医院近来很烦恼:自己只有北京的两个院区,不知怎么多了一堆不认识的“亲戚”。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近年来,以“协和”二字冠名的医院如雨后春笋般出现在许多地方,有的自称“协和医院某某分院”,有说是属于“协和医疗集团”,有说是“北京协和医院的连锁医院”或“与北京协和医院是技术上的上下级关系”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记者以“协和医院”为关键词检索发现全国竟有1700多家。协和医院宣传处常务副处长陈明雁表示,除了北京协和医院,还有华中科技大学同济医学院武汉协和医院、福建医科大学附属协和医院与“协和”有历史渊源,其余的“协和”和“北京协和”没有任何关系,“北京协和医院在国内也没有任何挂靠、合作、协作关系”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被这种情况困扰的不止“协和”一家,“同济”“华山”“上海复旦大学附属医院”等知名医院也是被“傍名牌”的重灾区。不仅是公立医院,“和睦家”这样的民营医疗机构也有上百个“山寨亲戚”。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记者查询发现有的“协和医院”注册资金仅3万元。业内人士介绍,这点钱连一些专业仪器都买不到。</w:t>
            </w:r>
          </w:p>
          <w:p>
            <w:pPr>
              <w:jc w:val="center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Style w:val="8"/>
                <w:rFonts w:ascii="Arial" w:hAnsi="Arial"/>
                <w:vanish w:val="0"/>
                <w:sz w:val="18"/>
                <w:szCs w:val="18"/>
              </w:rPr>
              <w:t>个别“傍名牌”医院</w:t>
            </w:r>
          </w:p>
          <w:p>
            <w:pPr>
              <w:pStyle w:val="5"/>
              <w:jc w:val="center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Style w:val="8"/>
                <w:rFonts w:ascii="Arial" w:hAnsi="Arial"/>
                <w:vanish w:val="0"/>
                <w:sz w:val="18"/>
                <w:szCs w:val="18"/>
              </w:rPr>
              <w:t>收费竟比一般公立医院贵6倍</w:t>
            </w:r>
          </w:p>
          <w:p>
            <w:pPr>
              <w:jc w:val="center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Style w:val="8"/>
                <w:rFonts w:ascii="Arial" w:hAnsi="Arial"/>
                <w:vanish w:val="0"/>
                <w:sz w:val="18"/>
                <w:szCs w:val="18"/>
              </w:rPr>
              <w:t>　　这些“XX协和”往往盯住“下三路”和“难言之隐”,患者进去容易,但得被“狠宰几刀”才能出来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知名医院被“傍名牌”,吃亏的往往是公众。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河北省定州市近期查处了“定州协和医院”,该医院已经被吊销许可证并关停。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今年6月,一位患者准备怀孕到该院检查,医生告知其有宫颈息肉,不切除怀不了孕,并承诺手术不用麻药。但手术中医生以大出血为由,“诱导”她麻醉,疼痛难忍之下,陈女士只能接受。术后的医院账单更“醉人”:手术费用高达13000元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当地公立医院相关人员介绍,宫颈息肉、静脉麻醉加术前检查,费用一般2000元左右。定州协和医院收费比一般公立医院贵6倍。专业人员介绍,宫颈息肉切除术出现大出血“可能性极小”。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无独有偶,今年4月,另一位患者到定州协和医院做人流手术,医生也以出血过多、宫颈糜烂为由增加收费项目,总计花了12000多元,费用远超其他医院。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不仅如此,有患者反映定州协和医院一陈姓医生,却以杨姓医生名义执业,还给患者做手术。经过当地卫计部门调查,杨姓医生2014年就离开了定州协和医院,人走证书留下来,医院就安排无资质人员假借其资质非法行医。执法人员到医院调查时,假冒杨医生的陈医生又称“自己其实姓周”,随后拒不配合调查转身离开,再不见踪影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经过当地调查,定州协和医院存在非法开展终止妊娠手术、违法发布医疗广告、编造疾病、术中加价、诱导医疗等违规违法问题。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尽管和北京协和医院没关系,但记者在现场看到,定州协和医院在门诊大厅高调标识自己是“全国协和品牌连锁医院”,贴在大厅墙上的一张全国示意地图上,北京协和、定州协和都成了“协和系”,地图最上方,硕大的字写着“相信品牌的力量”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记者调查发现,这些“XX协和”往往盯住“下三路”和“难言之隐”,多主打妇科、男科、皮肤病、人流等。不少患者在“名牌”光环下,进去容易,被“狠宰几刀”才能出来。</w:t>
            </w:r>
          </w:p>
          <w:p>
            <w:pPr>
              <w:jc w:val="center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Style w:val="8"/>
                <w:rFonts w:ascii="Arial" w:hAnsi="Arial"/>
                <w:vanish w:val="0"/>
                <w:sz w:val="18"/>
                <w:szCs w:val="18"/>
              </w:rPr>
              <w:t>合法“傍名牌”</w:t>
            </w:r>
          </w:p>
          <w:p>
            <w:pPr>
              <w:pStyle w:val="5"/>
              <w:jc w:val="center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Style w:val="8"/>
                <w:rFonts w:ascii="Arial" w:hAnsi="Arial"/>
                <w:vanish w:val="0"/>
                <w:sz w:val="18"/>
                <w:szCs w:val="18"/>
              </w:rPr>
              <w:t>一个月“XX协和”又增加数十家</w:t>
            </w:r>
          </w:p>
          <w:p>
            <w:pPr>
              <w:jc w:val="center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Style w:val="8"/>
                <w:rFonts w:ascii="Arial" w:hAnsi="Arial"/>
                <w:vanish w:val="0"/>
                <w:sz w:val="18"/>
                <w:szCs w:val="18"/>
              </w:rPr>
              <w:t>　　这些所谓“协和”医院即便通过编造疾病、术中加价等违法获益,出事一般也能花钱“私了”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医疗资源分布不均,优质资源相对集中于大城市、大医院,让“傍名牌”的“山寨医院”有了可乘之机。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各地不断涌现的傍名牌医院,不少是通过当地有关部门注册的合法医疗机构。例如,按照国家相关工商管理条例,北京协和医院不能独享“协和”二字,只能以“北京协和医院”六个字为注册商标,因此,类似定州协和这样的“XX协和”依然可以注册经营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而这些所谓“协和”医院即便通过编造疾病、术中加价、诱导医疗等违法获益,出点事一般也能花钱“私了”。刚刚被处罚的定州协和医院,出现的医疗纠纷时过境迁,界定为医疗事故鉴定难度很大,只能按医疗纠纷处理,而按违反广告法认定的罚金,顶格处置也只有50多万元,相对于利润而言,这样的罚款不痛不痒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北京协和医院党办主任段文利介绍,他们曾两次开发布会公布“北京协和”未在各地设置分院等情况,对患者反映的“傍名牌”现象,医院希望帮助患者鉴别“真假协和”。</w:t>
            </w:r>
          </w:p>
          <w:p>
            <w:pPr>
              <w:pStyle w:val="5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　　但和汹涌而来的“傍名牌”潮相比,这样的声音显然还不够。记者检索发现各地“协和医院”数量还在增长:从9月19日至10月18日一个月时间,“协和医院”检索结果就从1667家增长到1729家。</w:t>
            </w:r>
          </w:p>
          <w:p>
            <w:pPr>
              <w:pStyle w:val="5"/>
              <w:jc w:val="right"/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新华社北京10月18日电</w:t>
            </w:r>
          </w:p>
          <w:p>
            <w:pPr>
              <w:rPr>
                <w:rFonts w:ascii="Arial" w:hAnsi="Arial"/>
                <w:vanish w:val="0"/>
                <w:sz w:val="18"/>
                <w:szCs w:val="18"/>
              </w:rPr>
            </w:pPr>
            <w:r>
              <w:rPr>
                <w:rFonts w:ascii="Arial" w:hAnsi="Arial"/>
                <w:vanish w:val="0"/>
                <w:sz w:val="18"/>
                <w:szCs w:val="18"/>
              </w:rPr>
              <w:t> </w:t>
            </w:r>
          </w:p>
        </w:tc>
      </w:tr>
    </w:tbl>
    <w:p/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载：2018</w:t>
      </w:r>
      <w:bookmarkStart w:id="0" w:name="_GoBack"/>
      <w:bookmarkEnd w:id="0"/>
      <w:r>
        <w:rPr>
          <w:rFonts w:hint="eastAsia"/>
          <w:lang w:val="en-US" w:eastAsia="zh-CN"/>
        </w:rPr>
        <w:t>年10月19日《新华每日电讯》第16版</w:t>
      </w:r>
    </w:p>
    <w:sectPr>
      <w:pgSz w:w="11907" w:h="16839"/>
      <w:pgMar w:top="1440" w:right="1800" w:bottom="1440" w:left="1800" w:header="851" w:footer="992" w:gutter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6DA5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Strong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xhsbj</Company>
  <Pages>3</Pages>
  <Words>2008</Words>
  <Characters>2078</Characters>
  <Lines>68</Lines>
  <Paragraphs>37</Paragraphs>
  <TotalTime>0</TotalTime>
  <ScaleCrop>false</ScaleCrop>
  <LinksUpToDate>false</LinksUpToDate>
  <CharactersWithSpaces>2143</CharactersWithSpaces>
  <Application>WPS Office_11.1.0.8612_F1E327BC-269C-435d-A152-05C5408002CA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2019-04-17T09:15:00Z</dcterms:created>
  <dc:creator>user</dc:creator>
  <cp:lastModifiedBy>jiajx</cp:lastModifiedBy>
  <dcterms:modified xsi:type="dcterms:W3CDTF">2019-05-07T08:30:09Z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